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F2" w:rsidRDefault="00492AD9" w:rsidP="004F27F2">
      <w:pPr>
        <w:pStyle w:val="Listenabsatz"/>
        <w:spacing w:before="100" w:beforeAutospacing="1" w:after="100" w:afterAutospacing="1"/>
        <w:jc w:val="center"/>
        <w:rPr>
          <w:rFonts w:ascii="Verdana" w:hAnsi="Verdana"/>
          <w:bCs/>
          <w:sz w:val="23"/>
          <w:szCs w:val="23"/>
        </w:rPr>
      </w:pPr>
      <w:r w:rsidRPr="0082114B">
        <w:rPr>
          <w:rFonts w:ascii="Verdana" w:hAnsi="Verdana"/>
          <w:bCs/>
          <w:sz w:val="23"/>
          <w:szCs w:val="23"/>
        </w:rPr>
        <w:t>Aufnahmemerkmale der H</w:t>
      </w:r>
      <w:bookmarkStart w:id="0" w:name="_GoBack"/>
      <w:r w:rsidRPr="0082114B">
        <w:rPr>
          <w:rFonts w:ascii="Verdana" w:hAnsi="Verdana"/>
          <w:bCs/>
          <w:sz w:val="23"/>
          <w:szCs w:val="23"/>
        </w:rPr>
        <w:t>e</w:t>
      </w:r>
      <w:bookmarkEnd w:id="0"/>
      <w:r w:rsidRPr="0082114B">
        <w:rPr>
          <w:rFonts w:ascii="Verdana" w:hAnsi="Verdana"/>
          <w:bCs/>
          <w:sz w:val="23"/>
          <w:szCs w:val="23"/>
        </w:rPr>
        <w:t>rmann-Löns-Gemeinschaftsschule</w:t>
      </w:r>
    </w:p>
    <w:p w:rsidR="00492AD9" w:rsidRPr="0082114B" w:rsidRDefault="00492AD9" w:rsidP="004F27F2">
      <w:pPr>
        <w:pStyle w:val="Listenabsatz"/>
        <w:spacing w:before="100" w:beforeAutospacing="1" w:after="100" w:afterAutospacing="1"/>
        <w:jc w:val="center"/>
        <w:rPr>
          <w:rFonts w:ascii="Verdana" w:hAnsi="Verdana"/>
          <w:sz w:val="23"/>
          <w:szCs w:val="23"/>
        </w:rPr>
      </w:pPr>
      <w:r w:rsidRPr="0082114B">
        <w:rPr>
          <w:rFonts w:ascii="Verdana" w:hAnsi="Verdana"/>
          <w:bCs/>
          <w:sz w:val="23"/>
          <w:szCs w:val="23"/>
        </w:rPr>
        <w:t>für die Anmeldung</w:t>
      </w:r>
    </w:p>
    <w:p w:rsidR="00492AD9" w:rsidRPr="0082114B" w:rsidRDefault="00492AD9" w:rsidP="00492AD9">
      <w:pPr>
        <w:pStyle w:val="Listenabsatz"/>
        <w:spacing w:before="100" w:beforeAutospacing="1" w:after="100" w:afterAutospacing="1"/>
        <w:rPr>
          <w:rFonts w:ascii="Verdana" w:hAnsi="Verdana"/>
          <w:sz w:val="23"/>
          <w:szCs w:val="23"/>
        </w:rPr>
      </w:pPr>
    </w:p>
    <w:p w:rsidR="00492AD9" w:rsidRPr="0082114B" w:rsidRDefault="00492AD9" w:rsidP="00492AD9">
      <w:pPr>
        <w:pStyle w:val="Listenabsatz"/>
        <w:spacing w:before="100" w:beforeAutospacing="1" w:after="100" w:afterAutospacing="1"/>
        <w:rPr>
          <w:rFonts w:ascii="Verdana" w:hAnsi="Verdana"/>
          <w:sz w:val="23"/>
          <w:szCs w:val="23"/>
        </w:rPr>
      </w:pPr>
      <w:r w:rsidRPr="0082114B">
        <w:rPr>
          <w:rFonts w:ascii="Verdana" w:hAnsi="Verdana"/>
          <w:sz w:val="23"/>
          <w:szCs w:val="23"/>
        </w:rPr>
        <w:t>Folgende Kriterien sollen in dieser Reihenfolge Anwendung finden:</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Aufnahme von Schülerinnen und Schülern mit sonderpädagogischen Förderbedarf, soweit es die personellen, räumlichen und sachlichen Mittel zulassen.</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Aufnahme unserer Grundschülerinnen und Grundschüler</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Aufnahme von Geschwisterkindern, sofern das Geschwisterkind unsere Schule besucht.</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Aufnahme von Schülerinnen und Schülern, die im Entwicklungsbericht zum Übergang an die weiterführenden allgemeinbildenden Schulen im Bereich der überfachlichen Kompetenzen überwiegend  die Bewertung „fast immer“ oder „überwiegend“ haben. Liegen mehr Anmeldungen von Schülerinnen und Schülern, die diese Kriterien erfüllen, vor als Plätze zur Verfügung stehen, entscheidet ein Losverfahren.</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Aufnahme von Schülerinnen und Schülern, deren Wohnort in der Nähe liegt.</w:t>
      </w:r>
    </w:p>
    <w:p w:rsidR="00492AD9" w:rsidRPr="0082114B" w:rsidRDefault="00492AD9" w:rsidP="00492AD9">
      <w:pPr>
        <w:numPr>
          <w:ilvl w:val="0"/>
          <w:numId w:val="1"/>
        </w:numPr>
        <w:tabs>
          <w:tab w:val="clear" w:pos="7164"/>
          <w:tab w:val="num" w:pos="927"/>
        </w:tabs>
        <w:spacing w:before="100" w:beforeAutospacing="1" w:after="100" w:afterAutospacing="1"/>
        <w:ind w:left="927"/>
        <w:rPr>
          <w:rFonts w:ascii="Arial" w:hAnsi="Arial" w:cs="Arial"/>
          <w:sz w:val="24"/>
          <w:szCs w:val="24"/>
        </w:rPr>
      </w:pPr>
      <w:r w:rsidRPr="0082114B">
        <w:rPr>
          <w:rFonts w:ascii="Arial" w:hAnsi="Arial" w:cs="Arial"/>
          <w:sz w:val="24"/>
          <w:szCs w:val="24"/>
        </w:rPr>
        <w:t xml:space="preserve">Liegen mehr Anmeldungen vor als Plätze zur Verfügung stehen, entscheidet ein Losverfahren. </w:t>
      </w:r>
    </w:p>
    <w:sectPr w:rsidR="00492AD9" w:rsidRPr="008211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C0F3A"/>
    <w:multiLevelType w:val="multilevel"/>
    <w:tmpl w:val="A61C24AC"/>
    <w:lvl w:ilvl="0">
      <w:start w:val="1"/>
      <w:numFmt w:val="decimal"/>
      <w:lvlText w:val="%1."/>
      <w:lvlJc w:val="left"/>
      <w:pPr>
        <w:tabs>
          <w:tab w:val="num" w:pos="7164"/>
        </w:tabs>
        <w:ind w:left="7164" w:hanging="360"/>
      </w:pPr>
    </w:lvl>
    <w:lvl w:ilvl="1" w:tentative="1">
      <w:start w:val="1"/>
      <w:numFmt w:val="decimal"/>
      <w:lvlText w:val="%2."/>
      <w:lvlJc w:val="left"/>
      <w:pPr>
        <w:tabs>
          <w:tab w:val="num" w:pos="7884"/>
        </w:tabs>
        <w:ind w:left="7884" w:hanging="360"/>
      </w:pPr>
    </w:lvl>
    <w:lvl w:ilvl="2" w:tentative="1">
      <w:start w:val="1"/>
      <w:numFmt w:val="decimal"/>
      <w:lvlText w:val="%3."/>
      <w:lvlJc w:val="left"/>
      <w:pPr>
        <w:tabs>
          <w:tab w:val="num" w:pos="8604"/>
        </w:tabs>
        <w:ind w:left="8604" w:hanging="360"/>
      </w:pPr>
    </w:lvl>
    <w:lvl w:ilvl="3" w:tentative="1">
      <w:start w:val="1"/>
      <w:numFmt w:val="decimal"/>
      <w:lvlText w:val="%4."/>
      <w:lvlJc w:val="left"/>
      <w:pPr>
        <w:tabs>
          <w:tab w:val="num" w:pos="9324"/>
        </w:tabs>
        <w:ind w:left="9324" w:hanging="360"/>
      </w:pPr>
    </w:lvl>
    <w:lvl w:ilvl="4" w:tentative="1">
      <w:start w:val="1"/>
      <w:numFmt w:val="decimal"/>
      <w:lvlText w:val="%5."/>
      <w:lvlJc w:val="left"/>
      <w:pPr>
        <w:tabs>
          <w:tab w:val="num" w:pos="10044"/>
        </w:tabs>
        <w:ind w:left="10044" w:hanging="360"/>
      </w:pPr>
    </w:lvl>
    <w:lvl w:ilvl="5" w:tentative="1">
      <w:start w:val="1"/>
      <w:numFmt w:val="decimal"/>
      <w:lvlText w:val="%6."/>
      <w:lvlJc w:val="left"/>
      <w:pPr>
        <w:tabs>
          <w:tab w:val="num" w:pos="10764"/>
        </w:tabs>
        <w:ind w:left="10764" w:hanging="360"/>
      </w:pPr>
    </w:lvl>
    <w:lvl w:ilvl="6" w:tentative="1">
      <w:start w:val="1"/>
      <w:numFmt w:val="decimal"/>
      <w:lvlText w:val="%7."/>
      <w:lvlJc w:val="left"/>
      <w:pPr>
        <w:tabs>
          <w:tab w:val="num" w:pos="11484"/>
        </w:tabs>
        <w:ind w:left="11484" w:hanging="360"/>
      </w:pPr>
    </w:lvl>
    <w:lvl w:ilvl="7" w:tentative="1">
      <w:start w:val="1"/>
      <w:numFmt w:val="decimal"/>
      <w:lvlText w:val="%8."/>
      <w:lvlJc w:val="left"/>
      <w:pPr>
        <w:tabs>
          <w:tab w:val="num" w:pos="12204"/>
        </w:tabs>
        <w:ind w:left="12204" w:hanging="360"/>
      </w:pPr>
    </w:lvl>
    <w:lvl w:ilvl="8" w:tentative="1">
      <w:start w:val="1"/>
      <w:numFmt w:val="decimal"/>
      <w:lvlText w:val="%9."/>
      <w:lvlJc w:val="left"/>
      <w:pPr>
        <w:tabs>
          <w:tab w:val="num" w:pos="12924"/>
        </w:tabs>
        <w:ind w:left="1292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3B"/>
    <w:rsid w:val="000E5FC8"/>
    <w:rsid w:val="00492AD9"/>
    <w:rsid w:val="004F27F2"/>
    <w:rsid w:val="005E3864"/>
    <w:rsid w:val="00732BDC"/>
    <w:rsid w:val="00875CCC"/>
    <w:rsid w:val="0098783B"/>
    <w:rsid w:val="00E7370F"/>
    <w:rsid w:val="00F73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AD9"/>
    <w:pPr>
      <w:spacing w:after="0" w:line="240" w:lineRule="auto"/>
    </w:pPr>
    <w:rPr>
      <w:rFonts w:ascii="Tahoma" w:eastAsia="Times New Roman" w:hAnsi="Tahoma"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2AD9"/>
    <w:pPr>
      <w:ind w:left="720"/>
      <w:contextualSpacing/>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AD9"/>
    <w:pPr>
      <w:spacing w:after="0" w:line="240" w:lineRule="auto"/>
    </w:pPr>
    <w:rPr>
      <w:rFonts w:ascii="Tahoma" w:eastAsia="Times New Roman" w:hAnsi="Tahoma"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2AD9"/>
    <w:pPr>
      <w:ind w:left="720"/>
      <w:contextualSpacing/>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5140">
      <w:bodyDiv w:val="1"/>
      <w:marLeft w:val="0"/>
      <w:marRight w:val="0"/>
      <w:marTop w:val="0"/>
      <w:marBottom w:val="0"/>
      <w:divBdr>
        <w:top w:val="none" w:sz="0" w:space="0" w:color="auto"/>
        <w:left w:val="none" w:sz="0" w:space="0" w:color="auto"/>
        <w:bottom w:val="none" w:sz="0" w:space="0" w:color="auto"/>
        <w:right w:val="none" w:sz="0" w:space="0" w:color="auto"/>
      </w:divBdr>
      <w:divsChild>
        <w:div w:id="2082676371">
          <w:marLeft w:val="0"/>
          <w:marRight w:val="0"/>
          <w:marTop w:val="375"/>
          <w:marBottom w:val="0"/>
          <w:divBdr>
            <w:top w:val="none" w:sz="0" w:space="0" w:color="auto"/>
            <w:left w:val="none" w:sz="0" w:space="0" w:color="auto"/>
            <w:bottom w:val="none" w:sz="0" w:space="0" w:color="auto"/>
            <w:right w:val="none" w:sz="0" w:space="0" w:color="auto"/>
          </w:divBdr>
          <w:divsChild>
            <w:div w:id="1754662288">
              <w:marLeft w:val="0"/>
              <w:marRight w:val="0"/>
              <w:marTop w:val="0"/>
              <w:marBottom w:val="0"/>
              <w:divBdr>
                <w:top w:val="single" w:sz="2" w:space="0" w:color="000000"/>
                <w:left w:val="single" w:sz="6" w:space="0" w:color="000000"/>
                <w:bottom w:val="single" w:sz="6" w:space="0" w:color="000000"/>
                <w:right w:val="single" w:sz="6" w:space="0" w:color="000000"/>
              </w:divBdr>
              <w:divsChild>
                <w:div w:id="1733195727">
                  <w:marLeft w:val="0"/>
                  <w:marRight w:val="0"/>
                  <w:marTop w:val="0"/>
                  <w:marBottom w:val="0"/>
                  <w:divBdr>
                    <w:top w:val="none" w:sz="0" w:space="0" w:color="auto"/>
                    <w:left w:val="none" w:sz="0" w:space="0" w:color="auto"/>
                    <w:bottom w:val="none" w:sz="0" w:space="0" w:color="auto"/>
                    <w:right w:val="none" w:sz="0" w:space="0" w:color="auto"/>
                  </w:divBdr>
                  <w:divsChild>
                    <w:div w:id="1267302141">
                      <w:marLeft w:val="0"/>
                      <w:marRight w:val="0"/>
                      <w:marTop w:val="0"/>
                      <w:marBottom w:val="0"/>
                      <w:divBdr>
                        <w:top w:val="single" w:sz="2" w:space="0" w:color="000000"/>
                        <w:left w:val="single" w:sz="6" w:space="0" w:color="000000"/>
                        <w:bottom w:val="single" w:sz="2" w:space="0" w:color="000000"/>
                        <w:right w:val="single" w:sz="2" w:space="0" w:color="000000"/>
                      </w:divBdr>
                      <w:divsChild>
                        <w:div w:id="1890724599">
                          <w:marLeft w:val="0"/>
                          <w:marRight w:val="0"/>
                          <w:marTop w:val="0"/>
                          <w:marBottom w:val="0"/>
                          <w:divBdr>
                            <w:top w:val="none" w:sz="0" w:space="0" w:color="auto"/>
                            <w:left w:val="none" w:sz="0" w:space="0" w:color="auto"/>
                            <w:bottom w:val="none" w:sz="0" w:space="0" w:color="auto"/>
                            <w:right w:val="none" w:sz="0" w:space="0" w:color="auto"/>
                          </w:divBdr>
                          <w:divsChild>
                            <w:div w:id="449906007">
                              <w:marLeft w:val="0"/>
                              <w:marRight w:val="0"/>
                              <w:marTop w:val="0"/>
                              <w:marBottom w:val="0"/>
                              <w:divBdr>
                                <w:top w:val="none" w:sz="0" w:space="0" w:color="auto"/>
                                <w:left w:val="none" w:sz="0" w:space="0" w:color="auto"/>
                                <w:bottom w:val="none" w:sz="0" w:space="0" w:color="auto"/>
                                <w:right w:val="none" w:sz="0" w:space="0" w:color="auto"/>
                              </w:divBdr>
                              <w:divsChild>
                                <w:div w:id="300228264">
                                  <w:marLeft w:val="0"/>
                                  <w:marRight w:val="0"/>
                                  <w:marTop w:val="0"/>
                                  <w:marBottom w:val="30"/>
                                  <w:divBdr>
                                    <w:top w:val="single" w:sz="2" w:space="4" w:color="FFFEFE"/>
                                    <w:left w:val="single" w:sz="2" w:space="0" w:color="FFFEFE"/>
                                    <w:bottom w:val="single" w:sz="6" w:space="4" w:color="FFFEFE"/>
                                    <w:right w:val="single" w:sz="2" w:space="0" w:color="FFFEFE"/>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Lentz, Gudrun</dc:creator>
  <cp:lastModifiedBy>Lentz, Gudrun</cp:lastModifiedBy>
  <cp:revision>3</cp:revision>
  <cp:lastPrinted>2015-02-25T11:44:00Z</cp:lastPrinted>
  <dcterms:created xsi:type="dcterms:W3CDTF">2015-10-09T07:26:00Z</dcterms:created>
  <dcterms:modified xsi:type="dcterms:W3CDTF">2015-10-09T07:26:00Z</dcterms:modified>
</cp:coreProperties>
</file>